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40" w:lineRule="exact"/>
        <w:jc w:val="center"/>
        <w:rPr>
          <w:rFonts w:hint="eastAsia" w:ascii="仿宋_GB2312" w:hAnsi="Times New Roman" w:eastAsia="仿宋_GB2312" w:cs="Times New Roman"/>
          <w:b w:val="0"/>
          <w:color w:val="000000"/>
          <w:kern w:val="2"/>
          <w:sz w:val="32"/>
          <w:szCs w:val="32"/>
          <w:lang w:val="en-US" w:eastAsia="zh-CN" w:bidi="ar-SA"/>
        </w:rPr>
      </w:pPr>
      <w:bookmarkStart w:id="0" w:name="文号"/>
      <w:bookmarkStart w:id="1" w:name="标题"/>
    </w:p>
    <w:p>
      <w:pPr>
        <w:pStyle w:val="4"/>
        <w:spacing w:line="540" w:lineRule="exact"/>
        <w:jc w:val="center"/>
        <w:rPr>
          <w:rFonts w:hint="eastAsia" w:ascii="仿宋_GB2312" w:hAnsi="Times New Roman" w:eastAsia="仿宋_GB2312" w:cs="Times New Roman"/>
          <w:b w:val="0"/>
          <w:color w:val="000000"/>
          <w:kern w:val="2"/>
          <w:sz w:val="32"/>
          <w:szCs w:val="32"/>
          <w:lang w:val="en-US" w:eastAsia="zh-CN" w:bidi="ar-SA"/>
        </w:rPr>
      </w:pPr>
    </w:p>
    <w:p>
      <w:pPr>
        <w:pStyle w:val="4"/>
        <w:spacing w:line="540" w:lineRule="exact"/>
        <w:jc w:val="center"/>
        <w:rPr>
          <w:rFonts w:hint="eastAsia" w:ascii="仿宋_GB2312" w:hAnsi="Times New Roman" w:eastAsia="仿宋_GB2312" w:cs="Times New Roman"/>
          <w:b w:val="0"/>
          <w:color w:val="000000"/>
          <w:kern w:val="2"/>
          <w:sz w:val="32"/>
          <w:szCs w:val="32"/>
          <w:lang w:val="en-US" w:eastAsia="zh-CN" w:bidi="ar-SA"/>
        </w:rPr>
      </w:pPr>
      <w:bookmarkStart w:id="3" w:name="_GoBack"/>
      <w:bookmarkEnd w:id="3"/>
      <w:r>
        <w:rPr>
          <w:rFonts w:hint="eastAsia" w:ascii="仿宋_GB2312" w:hAnsi="Times New Roman" w:eastAsia="仿宋_GB2312" w:cs="Times New Roman"/>
          <w:b w:val="0"/>
          <w:color w:val="000000"/>
          <w:kern w:val="2"/>
          <w:sz w:val="32"/>
          <w:szCs w:val="32"/>
          <w:lang w:val="en-US" w:eastAsia="zh-CN" w:bidi="ar-SA"/>
        </w:rPr>
        <w:t>洪人社规〔2023〕1号</w:t>
      </w:r>
      <w:bookmarkEnd w:id="0"/>
    </w:p>
    <w:p>
      <w:pPr>
        <w:pStyle w:val="4"/>
        <w:spacing w:line="540" w:lineRule="exact"/>
        <w:jc w:val="center"/>
        <w:rPr>
          <w:rFonts w:hint="eastAsia" w:ascii="仿宋_GB2312" w:hAnsi="Times New Roman" w:eastAsia="仿宋_GB2312" w:cs="Times New Roman"/>
          <w:b w:val="0"/>
          <w:color w:val="000000"/>
          <w:kern w:val="2"/>
          <w:sz w:val="32"/>
          <w:szCs w:val="32"/>
          <w:lang w:val="en-US" w:eastAsia="zh-CN" w:bidi="ar-SA"/>
        </w:rPr>
      </w:pPr>
    </w:p>
    <w:p>
      <w:pPr>
        <w:pStyle w:val="4"/>
        <w:spacing w:line="540" w:lineRule="exact"/>
        <w:jc w:val="center"/>
        <w:rPr>
          <w:rFonts w:hint="eastAsia" w:ascii="仿宋_GB2312" w:hAnsi="Times New Roman" w:eastAsia="仿宋_GB2312" w:cs="Times New Roman"/>
          <w:b w:val="0"/>
          <w:color w:val="000000"/>
          <w:kern w:val="2"/>
          <w:sz w:val="32"/>
          <w:szCs w:val="32"/>
          <w:lang w:val="en-US" w:eastAsia="zh-CN" w:bidi="ar-SA"/>
        </w:rPr>
      </w:pPr>
    </w:p>
    <w:p>
      <w:pPr>
        <w:pStyle w:val="4"/>
        <w:spacing w:line="540" w:lineRule="exact"/>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南昌市人力资源和社会保障局</w:t>
      </w:r>
    </w:p>
    <w:p>
      <w:pPr>
        <w:pStyle w:val="4"/>
        <w:spacing w:line="540" w:lineRule="exact"/>
        <w:jc w:val="center"/>
      </w:pPr>
      <w:r>
        <w:rPr>
          <w:rFonts w:hint="eastAsia" w:ascii="方正小标宋简体" w:hAnsi="方正小标宋简体" w:eastAsia="方正小标宋简体" w:cs="方正小标宋简体"/>
          <w:b w:val="0"/>
          <w:bCs/>
          <w:sz w:val="44"/>
          <w:szCs w:val="44"/>
        </w:rPr>
        <w:t>关于印发行政执法“四张清单”的通知</w:t>
      </w:r>
      <w:bookmarkEnd w:id="1"/>
    </w:p>
    <w:p>
      <w:pPr>
        <w:spacing w:line="520" w:lineRule="exact"/>
        <w:rPr>
          <w:rFonts w:hint="eastAsia" w:ascii="仿宋_GB2312" w:eastAsia="仿宋_GB2312"/>
          <w:color w:val="000000"/>
          <w:sz w:val="32"/>
          <w:szCs w:val="32"/>
        </w:rPr>
      </w:pPr>
      <w:bookmarkStart w:id="2" w:name="Content"/>
      <w:bookmarkEnd w:id="2"/>
    </w:p>
    <w:p>
      <w:pPr>
        <w:spacing w:line="520" w:lineRule="exact"/>
        <w:rPr>
          <w:rFonts w:hint="eastAsia" w:ascii="宋体" w:hAnsi="宋体" w:eastAsia="仿宋_GB2312" w:cs="Tahoma"/>
          <w:color w:val="000000"/>
          <w:kern w:val="0"/>
          <w:sz w:val="32"/>
          <w:szCs w:val="32"/>
        </w:rPr>
      </w:pPr>
      <w:r>
        <w:rPr>
          <w:rFonts w:hint="eastAsia" w:ascii="宋体" w:hAnsi="宋体" w:eastAsia="仿宋_GB2312" w:cs="Tahoma"/>
          <w:color w:val="000000"/>
          <w:kern w:val="0"/>
          <w:sz w:val="32"/>
          <w:szCs w:val="32"/>
        </w:rPr>
        <w:t>各县区（开发区）人力资源社会保障局、湾里管理局人社办，局属有关单位、局机关有关科室：</w:t>
      </w:r>
    </w:p>
    <w:p>
      <w:pPr>
        <w:spacing w:line="520" w:lineRule="exact"/>
        <w:ind w:firstLine="640" w:firstLineChars="200"/>
        <w:rPr>
          <w:rFonts w:hint="eastAsia" w:ascii="宋体" w:hAnsi="宋体" w:eastAsia="仿宋_GB2312" w:cs="Tahoma"/>
          <w:color w:val="000000"/>
          <w:kern w:val="0"/>
          <w:sz w:val="32"/>
          <w:szCs w:val="32"/>
        </w:rPr>
      </w:pPr>
      <w:r>
        <w:rPr>
          <w:rFonts w:hint="eastAsia" w:ascii="宋体" w:hAnsi="宋体" w:eastAsia="仿宋_GB2312" w:cs="Tahoma"/>
          <w:color w:val="000000"/>
          <w:kern w:val="0"/>
          <w:sz w:val="32"/>
          <w:szCs w:val="32"/>
        </w:rPr>
        <w:t>为认真贯彻落实市委、市政府《关于持续推进营商环境优化升级“一号改革工程”2023年行动方案》文件精神，持续推进优化全市营商环境，依据《行政处罚法》等法律法规的有关规定，结合我市人力资源和社会保障行政执法工作实际，制定了行政执法“四张清单”,现印发给你们，请遵照执行。</w:t>
      </w:r>
    </w:p>
    <w:p>
      <w:pPr>
        <w:spacing w:line="520" w:lineRule="exact"/>
        <w:ind w:left="1918" w:leftChars="304" w:hanging="1280" w:hangingChars="400"/>
        <w:rPr>
          <w:rFonts w:hint="eastAsia" w:ascii="宋体" w:hAnsi="宋体" w:eastAsia="仿宋_GB2312" w:cs="Tahoma"/>
          <w:color w:val="000000"/>
          <w:kern w:val="0"/>
          <w:sz w:val="32"/>
          <w:szCs w:val="32"/>
        </w:rPr>
      </w:pPr>
    </w:p>
    <w:p>
      <w:pPr>
        <w:spacing w:line="520" w:lineRule="exact"/>
        <w:ind w:left="1598" w:leftChars="304" w:hanging="960" w:hangingChars="300"/>
        <w:rPr>
          <w:rFonts w:hint="eastAsia" w:ascii="宋体" w:hAnsi="宋体" w:eastAsia="仿宋_GB2312" w:cs="Tahoma"/>
          <w:color w:val="000000"/>
          <w:kern w:val="0"/>
          <w:sz w:val="32"/>
          <w:szCs w:val="32"/>
        </w:rPr>
      </w:pPr>
      <w:r>
        <w:rPr>
          <w:rFonts w:hint="eastAsia" w:ascii="宋体" w:hAnsi="宋体" w:eastAsia="仿宋_GB2312" w:cs="Tahoma"/>
          <w:color w:val="000000"/>
          <w:kern w:val="0"/>
          <w:sz w:val="32"/>
          <w:szCs w:val="32"/>
        </w:rPr>
        <w:t>附件：南昌市人力资源和社会保障涉企行政执法“四张清单”</w:t>
      </w:r>
    </w:p>
    <w:p>
      <w:pPr>
        <w:spacing w:line="520" w:lineRule="exact"/>
        <w:ind w:firstLine="640" w:firstLineChars="200"/>
        <w:rPr>
          <w:rFonts w:hint="eastAsia" w:ascii="宋体" w:hAnsi="宋体" w:eastAsia="仿宋_GB2312" w:cs="Tahoma"/>
          <w:color w:val="000000"/>
          <w:kern w:val="0"/>
          <w:sz w:val="32"/>
          <w:szCs w:val="32"/>
        </w:rPr>
      </w:pPr>
    </w:p>
    <w:p>
      <w:pPr>
        <w:spacing w:line="520" w:lineRule="exact"/>
        <w:ind w:firstLine="640" w:firstLineChars="200"/>
        <w:rPr>
          <w:rFonts w:hint="eastAsia" w:ascii="宋体" w:hAnsi="宋体" w:eastAsia="仿宋_GB2312" w:cs="Tahoma"/>
          <w:color w:val="000000"/>
          <w:kern w:val="0"/>
          <w:sz w:val="32"/>
          <w:szCs w:val="32"/>
        </w:rPr>
      </w:pPr>
    </w:p>
    <w:p>
      <w:pPr>
        <w:spacing w:line="520" w:lineRule="exact"/>
        <w:ind w:right="210" w:rightChars="100"/>
        <w:jc w:val="right"/>
        <w:rPr>
          <w:rFonts w:hint="eastAsia" w:ascii="仿宋_GB2312" w:eastAsia="仿宋_GB2312"/>
          <w:sz w:val="32"/>
          <w:szCs w:val="32"/>
        </w:rPr>
      </w:pPr>
      <w:r>
        <w:rPr>
          <w:rFonts w:hint="eastAsia" w:ascii="仿宋_GB2312" w:eastAsia="仿宋_GB2312"/>
          <w:sz w:val="32"/>
          <w:szCs w:val="32"/>
        </w:rPr>
        <w:t>南昌市人力资源和社会保障局</w:t>
      </w:r>
    </w:p>
    <w:p>
      <w:pPr>
        <w:tabs>
          <w:tab w:val="left" w:pos="7560"/>
        </w:tabs>
        <w:wordWrap w:val="0"/>
        <w:spacing w:line="520" w:lineRule="exact"/>
        <w:ind w:right="210" w:rightChars="100"/>
        <w:jc w:val="center"/>
        <w:rPr>
          <w:rFonts w:ascii="仿宋_GB2312" w:eastAsia="仿宋_GB2312"/>
          <w:sz w:val="28"/>
          <w:szCs w:val="28"/>
        </w:rPr>
      </w:pPr>
      <w:r>
        <w:rPr>
          <w:rFonts w:hint="eastAsia" w:ascii="仿宋_GB2312" w:eastAsia="仿宋_GB2312"/>
          <w:sz w:val="32"/>
          <w:szCs w:val="32"/>
        </w:rPr>
        <w:t xml:space="preserve">                               2023年11月2</w:t>
      </w:r>
      <w:r>
        <w:rPr>
          <w:rFonts w:ascii="仿宋_GB2312" w:eastAsia="仿宋_GB2312"/>
          <w:sz w:val="32"/>
          <w:szCs w:val="32"/>
        </w:rPr>
        <w:t>8</w:t>
      </w:r>
      <w:r>
        <w:rPr>
          <w:rFonts w:hint="eastAsia" w:ascii="仿宋_GB2312" w:eastAsia="仿宋_GB2312"/>
          <w:sz w:val="32"/>
          <w:szCs w:val="32"/>
        </w:rPr>
        <w:t xml:space="preserve">日  </w:t>
      </w:r>
      <w:r>
        <w:rPr>
          <w:rFonts w:hint="eastAsia" w:ascii="仿宋_GB2312" w:eastAsia="仿宋_GB2312"/>
          <w:sz w:val="28"/>
          <w:szCs w:val="28"/>
        </w:rPr>
        <w:t xml:space="preserve"> </w:t>
      </w:r>
    </w:p>
    <w:p>
      <w:pPr>
        <w:pStyle w:val="2"/>
        <w:spacing w:line="520" w:lineRule="exact"/>
        <w:ind w:firstLine="640"/>
        <w:rPr>
          <w:rFonts w:hint="eastAsia"/>
        </w:rPr>
      </w:pPr>
      <w:r>
        <w:rPr>
          <w:rFonts w:hint="eastAsia" w:ascii="仿宋_GB2312" w:hAnsi="仿宋_GB2312" w:eastAsia="仿宋_GB2312" w:cs="仿宋_GB2312"/>
          <w:sz w:val="32"/>
          <w:szCs w:val="32"/>
        </w:rPr>
        <w:t>公开信息项：主动公开</w:t>
      </w:r>
    </w:p>
    <w:p>
      <w:pPr>
        <w:tabs>
          <w:tab w:val="left" w:pos="1264"/>
        </w:tabs>
        <w:spacing w:line="520" w:lineRule="exact"/>
        <w:rPr>
          <w:rFonts w:hint="eastAsia" w:eastAsia="仿宋_GB2312"/>
        </w:rPr>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pPr>
    </w:p>
    <w:p>
      <w:pPr>
        <w:rPr>
          <w:rFonts w:hint="eastAsia" w:ascii="方正小标宋简体" w:hAnsi="方正小标宋简体" w:eastAsia="方正小标宋简体" w:cs="方正小标宋简体"/>
          <w:sz w:val="44"/>
          <w:szCs w:val="44"/>
        </w:rPr>
      </w:pPr>
      <w:r>
        <w:rPr>
          <w:rFonts w:hint="eastAsia" w:ascii="黑体" w:hAnsi="黑体" w:eastAsia="黑体" w:cs="黑体"/>
          <w:sz w:val="32"/>
          <w:szCs w:val="32"/>
        </w:rPr>
        <w:t>附件</w:t>
      </w:r>
    </w:p>
    <w:p>
      <w:pPr>
        <w:jc w:val="center"/>
        <w:rPr>
          <w:rFonts w:hint="eastAsia" w:ascii="黑体" w:hAnsi="黑体" w:eastAsia="黑体" w:cs="黑体"/>
          <w:color w:val="000000"/>
          <w:sz w:val="44"/>
          <w:szCs w:val="44"/>
          <w:shd w:val="clear" w:color="auto" w:fill="FFFFFF"/>
        </w:rPr>
      </w:pPr>
      <w:r>
        <w:rPr>
          <w:rFonts w:hint="eastAsia" w:ascii="黑体" w:hAnsi="黑体" w:eastAsia="黑体" w:cs="黑体"/>
          <w:color w:val="000000"/>
          <w:sz w:val="44"/>
          <w:szCs w:val="44"/>
          <w:shd w:val="clear" w:color="auto" w:fill="FFFFFF"/>
        </w:rPr>
        <w:t>南昌市人力资源和社会保障不予处罚事项清单</w:t>
      </w:r>
    </w:p>
    <w:tbl>
      <w:tblPr>
        <w:tblStyle w:val="7"/>
        <w:tblW w:w="12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3104"/>
        <w:gridCol w:w="5265"/>
        <w:gridCol w:w="2730"/>
        <w:gridCol w:w="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blHeader/>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300" w:lineRule="exact"/>
              <w:jc w:val="center"/>
              <w:rPr>
                <w:rFonts w:hint="eastAsia" w:ascii="黑体" w:hAnsi="黑体" w:eastAsia="黑体" w:cs="黑体"/>
                <w:bCs/>
                <w:color w:val="000000"/>
                <w:kern w:val="0"/>
                <w:sz w:val="24"/>
              </w:rPr>
            </w:pPr>
            <w:r>
              <w:rPr>
                <w:rFonts w:hint="eastAsia" w:ascii="黑体" w:hAnsi="黑体" w:eastAsia="黑体" w:cs="黑体"/>
                <w:bCs/>
                <w:color w:val="000000"/>
                <w:kern w:val="0"/>
                <w:sz w:val="24"/>
              </w:rPr>
              <w:t>序号</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300" w:lineRule="exact"/>
              <w:jc w:val="center"/>
              <w:rPr>
                <w:rFonts w:hint="eastAsia" w:ascii="黑体" w:hAnsi="黑体" w:eastAsia="黑体" w:cs="黑体"/>
                <w:bCs/>
                <w:color w:val="000000"/>
                <w:kern w:val="0"/>
                <w:sz w:val="24"/>
              </w:rPr>
            </w:pPr>
            <w:r>
              <w:rPr>
                <w:rFonts w:hint="eastAsia" w:ascii="黑体" w:hAnsi="黑体" w:eastAsia="黑体" w:cs="黑体"/>
                <w:bCs/>
                <w:color w:val="000000"/>
                <w:kern w:val="0"/>
                <w:sz w:val="24"/>
              </w:rPr>
              <w:t>处罚事项</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300" w:lineRule="exact"/>
              <w:jc w:val="center"/>
              <w:rPr>
                <w:rFonts w:hint="eastAsia" w:ascii="黑体" w:hAnsi="黑体" w:eastAsia="黑体" w:cs="黑体"/>
                <w:bCs/>
                <w:color w:val="000000"/>
                <w:kern w:val="0"/>
                <w:sz w:val="24"/>
              </w:rPr>
            </w:pPr>
            <w:r>
              <w:rPr>
                <w:rFonts w:hint="eastAsia" w:ascii="黑体" w:hAnsi="黑体" w:eastAsia="黑体" w:cs="黑体"/>
                <w:bCs/>
                <w:color w:val="000000"/>
                <w:sz w:val="24"/>
              </w:rPr>
              <w:t>不予处罚的情形</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300" w:lineRule="exact"/>
              <w:jc w:val="center"/>
              <w:rPr>
                <w:rFonts w:hint="eastAsia" w:ascii="黑体" w:hAnsi="黑体" w:eastAsia="黑体" w:cs="黑体"/>
                <w:bCs/>
                <w:color w:val="000000"/>
                <w:kern w:val="0"/>
                <w:sz w:val="24"/>
              </w:rPr>
            </w:pPr>
            <w:r>
              <w:rPr>
                <w:rFonts w:hint="eastAsia" w:ascii="黑体" w:hAnsi="黑体" w:eastAsia="黑体" w:cs="黑体"/>
                <w:bCs/>
                <w:color w:val="000000"/>
                <w:kern w:val="0"/>
                <w:sz w:val="24"/>
              </w:rPr>
              <w:t>不予处罚的依据</w:t>
            </w: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300" w:lineRule="exact"/>
              <w:jc w:val="center"/>
              <w:rPr>
                <w:rFonts w:hint="eastAsia" w:ascii="黑体" w:hAnsi="黑体" w:eastAsia="黑体" w:cs="黑体"/>
                <w:bCs/>
                <w:color w:val="000000"/>
                <w:kern w:val="0"/>
                <w:sz w:val="24"/>
              </w:rPr>
            </w:pPr>
            <w:r>
              <w:rPr>
                <w:rFonts w:hint="eastAsia" w:ascii="黑体" w:hAnsi="黑体" w:eastAsia="黑体" w:cs="黑体"/>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用人单位招用无合法身份证件的人员</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（1）招用5人以下；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（4）未造成不良社会影响。</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（5）检查之日起前十二个月内无违反同一法律规定的查处记录。</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rPr>
                <w:rFonts w:hint="eastAsia" w:ascii="仿宋_GB2312" w:hAnsi="仿宋_GB2312" w:eastAsia="仿宋_GB2312" w:cs="仿宋_GB2312"/>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《行政处罚法》第33条  </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违法行为轻微并及时改正，没有造成危害后果的，不予行政处罚。初次违法且危害后果轻微并及时改正的，可以不予行政处罚。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当事人有证据足以证明没有主观过错的，不予行政处罚。</w:t>
            </w: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pStyle w:val="6"/>
              <w:ind w:firstLine="480"/>
              <w:rPr>
                <w:rFonts w:hint="eastAsia" w:ascii="仿宋_GB2312" w:hAnsi="仿宋_GB2312" w:eastAsia="仿宋_GB2312" w:cs="仿宋_GB2312"/>
                <w:color w:val="000000"/>
                <w:kern w:val="0"/>
                <w:sz w:val="24"/>
              </w:rPr>
            </w:pPr>
          </w:p>
          <w:p>
            <w:pPr>
              <w:rPr>
                <w:rFonts w:hint="eastAsia" w:ascii="仿宋_GB2312" w:hAnsi="仿宋_GB2312" w:eastAsia="仿宋_GB2312" w:cs="仿宋_GB2312"/>
                <w:color w:val="000000"/>
                <w:kern w:val="0"/>
                <w:sz w:val="24"/>
              </w:rPr>
            </w:pPr>
          </w:p>
          <w:p>
            <w:pPr>
              <w:pStyle w:val="6"/>
              <w:ind w:firstLine="480"/>
              <w:rPr>
                <w:rFonts w:hint="eastAsia" w:ascii="仿宋_GB2312" w:hAnsi="仿宋_GB2312" w:eastAsia="仿宋_GB2312" w:cs="仿宋_GB2312"/>
                <w:color w:val="000000"/>
                <w:kern w:val="0"/>
                <w:sz w:val="24"/>
              </w:rPr>
            </w:pPr>
          </w:p>
          <w:p>
            <w:pPr>
              <w:rPr>
                <w:rFonts w:hint="eastAsia"/>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《行政处罚法》第33条  </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违法行为轻微并及时改正，没有造成危害后果的，不予行政处罚。初次违法且危害后果轻微并及时改正的，可以不予行政处罚。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当事人有证据足以证明没有主观过错的，不予行政处罚。</w:t>
            </w: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《行政处罚法》第33条  </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违法行为轻微并及时改正，没有造成危害后果的，不予行政处罚。初次违法且危害后果轻微并及时改正的，可以不予行政处罚。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当事人有证据足以证明没有主观过错的，不予行政处罚。</w:t>
            </w: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pStyle w:val="6"/>
              <w:ind w:firstLine="480"/>
              <w:rPr>
                <w:rFonts w:hint="eastAsia" w:ascii="仿宋_GB2312" w:hAnsi="仿宋_GB2312" w:eastAsia="仿宋_GB2312" w:cs="仿宋_GB2312"/>
                <w:color w:val="000000"/>
                <w:kern w:val="0"/>
                <w:sz w:val="24"/>
              </w:rPr>
            </w:pPr>
          </w:p>
          <w:p>
            <w:pPr>
              <w:rPr>
                <w:rFonts w:hint="eastAsia" w:ascii="仿宋_GB2312" w:hAnsi="仿宋_GB2312" w:eastAsia="仿宋_GB2312" w:cs="仿宋_GB2312"/>
                <w:color w:val="000000"/>
                <w:kern w:val="0"/>
                <w:sz w:val="24"/>
              </w:rPr>
            </w:pPr>
          </w:p>
          <w:p>
            <w:pPr>
              <w:pStyle w:val="6"/>
              <w:ind w:firstLine="480"/>
              <w:rPr>
                <w:rFonts w:hint="eastAsia" w:ascii="仿宋_GB2312" w:hAnsi="仿宋_GB2312" w:eastAsia="仿宋_GB2312" w:cs="仿宋_GB2312"/>
                <w:color w:val="000000"/>
                <w:kern w:val="0"/>
                <w:sz w:val="24"/>
              </w:rPr>
            </w:pPr>
          </w:p>
          <w:p>
            <w:pPr>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《行政处罚法》第33条  </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违法行为轻微并及时改正，没有造成危害后果的，不予行政处罚。初次违法且危害后果轻微并及时改正的，可以不予行政处罚。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当事人有证据足以证明没有主观过错的，不予行政处罚。</w:t>
            </w: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pStyle w:val="6"/>
              <w:ind w:firstLine="480"/>
              <w:rPr>
                <w:rFonts w:hint="eastAsia" w:ascii="仿宋_GB2312" w:hAnsi="仿宋_GB2312" w:eastAsia="仿宋_GB2312" w:cs="仿宋_GB2312"/>
                <w:color w:val="000000"/>
                <w:kern w:val="0"/>
                <w:sz w:val="24"/>
              </w:rPr>
            </w:pPr>
          </w:p>
          <w:p>
            <w:pPr>
              <w:rPr>
                <w:rFonts w:hint="eastAsia" w:ascii="仿宋_GB2312" w:hAnsi="仿宋_GB2312" w:eastAsia="仿宋_GB2312" w:cs="仿宋_GB2312"/>
                <w:color w:val="000000"/>
                <w:kern w:val="0"/>
                <w:sz w:val="24"/>
              </w:rPr>
            </w:pPr>
          </w:p>
          <w:p>
            <w:pPr>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 xml:space="preserve">《行政处罚法》第33条  </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违法行为轻微并及时改正，没有造成危害后果的，不予行政处罚。初次违法且危害后果轻微并及时改正的，可以不予行政处罚。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当事人有证据足以证明没有主观过错的，不予行政处罚。</w:t>
            </w: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用人单位未及时为劳动者办理就业登记手续</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（1）超期30日以内，涉及5人以下；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（4）未造成不良社会影响；</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用人单位以民族、性别、宗教信仰为由拒绝聘用或者提高聘用标准</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（1）无具体受侵害人；</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（4）未造成社会不良影响；</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用人单位以担保或者其他名义向劳动者收取财物</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（1）人均收取金额300元以内且收取总金额累积不超过900元；</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（4）未造成社会不良影响；</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用人单位扣押劳动者档案或者其他物品</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（1）超期30日以内，涉及5人以下；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用人单位制定的劳动规章制度违反法律、法规规定</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（2）主动整改或在责令改正限期内改正；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未经许可擅自经营劳务派遣业务</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（3）符合劳务派遣许可的法定条件，有继续经营的意愿；</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（4）按要求取得许可。</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用人单位违规延长劳动者工作时间</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（1）涉及劳动者5人以下，且违规延长时间每日不足4小时；</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（3）及时足额支付加班工资；</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用人单位不办理社会保险登记</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（1）未为劳动者办理社会保险登记50人以下;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缴费单位未按照规定申报应缴纳的社会保险费数额</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（1）涉及劳动者在50人以下；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缴费单位未按规定从缴费个人工资中代扣代缴社会保险费</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（1）未代扣代缴社会保险费占应缴纳总数、涉及职工占职工总数均在5%以下；</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缴费单位未按规定向职工公布本单位社会保险费缴纳情况</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（1）1年未按规定向职工公布本单位社会保险费缴纳情况的；</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（2）主动改正或在责令改正期限内改正；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13</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用人单位或者医疗机构拒不协助社会保险行政部门对事故进行调查核实</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(1)检查之日起前十二个月内无违反同一法律规定的查处记录；</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(3)主动整改或在行政机关责令（限期）改正限期内改正。</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经营性人力资源服务机构开展人力资源服务业务未备案</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（1）检查之日起前十二个月内无违反同一法律规定的查处记录；</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（3）主动整改或在行政机关责令（限期）改正限期内改正。</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15</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经营性人力资源服务机构设立分支机构、办理变更或者注销登记未书面报告</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(1)检查之日起前十二个月内无违反同一法律规定的查处记录；</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(3)主动整改或在行政机关责令（限期）改正限期内改正。</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16</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经营性人力资源服务机构未按规定在服务场所明示营业执照、服务项目、收费标准、监督机关和监督电话</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(1)检查之日起前十二个月内无违反同一法律规定的查处记录；</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(3)主动整改或在行政机关责令（限期）改正限期内改正。</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17</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擅自分立、合并以职业技能为主的职业资格培训、职业技能培训的民办学校</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（3）主动改正或责令改正期限内改正；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18</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擅自改变以职业技能为主的职业资格培训、职业技能培训的民办学校的名称、层次、类别和举办者</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（3）主动改正或责令改正期限内改正；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19</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以职业技能为主的职业资格培训、职业技能培训的民办学校发布虚假招生简章或者广告，骗取钱财</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（3）主动改正或责令改正期限内改正；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20</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以职业技能为主的职业资格培训、职业技能培训的民办学校非法颁发或者伪造学历证书、结业证书、培训证书、职业资格证书</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（3）主动改正或责令改正期限内改正；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21</w:t>
            </w:r>
          </w:p>
        </w:tc>
        <w:tc>
          <w:tcPr>
            <w:tcW w:w="31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以职业技能为主的职业资格培训、职业技能培训的民办学校恶意终止办学、抽逃资金或者挪用办学经费</w:t>
            </w:r>
          </w:p>
        </w:tc>
        <w:tc>
          <w:tcPr>
            <w:tcW w:w="5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同时具备以下条件，不予处罚：</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（1）没有违法所得；</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（2）未造成危害后果；</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（3）主动改正或责令改正期限内改正；</w:t>
            </w:r>
          </w:p>
          <w:p>
            <w:pPr>
              <w:spacing w:line="240" w:lineRule="exac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（4）检查之日起前十二个月内无违反同一法律规定的查处记录。</w:t>
            </w: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40" w:lineRule="exact"/>
              <w:rPr>
                <w:rFonts w:hint="eastAsia" w:ascii="仿宋_GB2312" w:hAnsi="仿宋_GB2312" w:eastAsia="仿宋_GB2312" w:cs="仿宋_GB2312"/>
                <w:color w:val="000000"/>
                <w:kern w:val="0"/>
                <w:sz w:val="24"/>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300" w:lineRule="exact"/>
              <w:textAlignment w:val="center"/>
              <w:rPr>
                <w:rFonts w:hint="eastAsia" w:ascii="仿宋_GB2312" w:hAnsi="仿宋_GB2312" w:eastAsia="仿宋_GB2312" w:cs="仿宋_GB2312"/>
                <w:color w:val="000000"/>
                <w:sz w:val="24"/>
              </w:rPr>
            </w:pPr>
          </w:p>
        </w:tc>
      </w:tr>
    </w:tbl>
    <w:p>
      <w:pPr>
        <w:rPr>
          <w:rFonts w:hint="eastAsia" w:ascii="仿宋_GB2312" w:hAnsi="仿宋_GB2312" w:eastAsia="仿宋_GB2312" w:cs="仿宋_GB2312"/>
          <w:sz w:val="36"/>
          <w:szCs w:val="36"/>
        </w:rPr>
      </w:pPr>
    </w:p>
    <w:p>
      <w:pPr>
        <w:rPr>
          <w:rFonts w:hint="eastAsia" w:ascii="仿宋_GB2312" w:hAnsi="仿宋_GB2312" w:eastAsia="仿宋_GB2312" w:cs="仿宋_GB2312"/>
          <w:sz w:val="36"/>
          <w:szCs w:val="36"/>
        </w:rPr>
      </w:pPr>
    </w:p>
    <w:p>
      <w:pPr>
        <w:snapToGrid w:val="0"/>
        <w:spacing w:line="542" w:lineRule="exact"/>
        <w:jc w:val="center"/>
        <w:rPr>
          <w:rFonts w:hint="eastAsia" w:ascii="黑体" w:hAnsi="黑体" w:eastAsia="黑体" w:cs="黑体"/>
          <w:bCs/>
          <w:color w:val="000000"/>
          <w:kern w:val="0"/>
          <w:sz w:val="44"/>
          <w:szCs w:val="44"/>
        </w:rPr>
      </w:pPr>
      <w:r>
        <w:rPr>
          <w:rFonts w:hint="eastAsia" w:ascii="黑体" w:hAnsi="黑体" w:eastAsia="黑体" w:cs="黑体"/>
          <w:bCs/>
          <w:color w:val="000000"/>
          <w:kern w:val="0"/>
          <w:sz w:val="44"/>
          <w:szCs w:val="44"/>
        </w:rPr>
        <w:t>南昌市人力资源和社会保障减轻处罚事项清单</w:t>
      </w:r>
    </w:p>
    <w:tbl>
      <w:tblPr>
        <w:tblStyle w:val="7"/>
        <w:tblW w:w="128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574"/>
        <w:gridCol w:w="3930"/>
        <w:gridCol w:w="2751"/>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blHeader/>
          <w:jc w:val="center"/>
        </w:trPr>
        <w:tc>
          <w:tcPr>
            <w:tcW w:w="805"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序号</w:t>
            </w:r>
          </w:p>
        </w:tc>
        <w:tc>
          <w:tcPr>
            <w:tcW w:w="2574"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处罚事项</w:t>
            </w:r>
          </w:p>
        </w:tc>
        <w:tc>
          <w:tcPr>
            <w:tcW w:w="3930"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减轻</w:t>
            </w:r>
            <w:r>
              <w:rPr>
                <w:rFonts w:hint="eastAsia" w:ascii="黑体" w:hAnsi="黑体" w:eastAsia="黑体" w:cs="宋体"/>
                <w:bCs/>
                <w:sz w:val="24"/>
              </w:rPr>
              <w:t>处罚的情形</w:t>
            </w:r>
          </w:p>
        </w:tc>
        <w:tc>
          <w:tcPr>
            <w:tcW w:w="2751"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 xml:space="preserve">减轻处罚的依据 </w:t>
            </w:r>
          </w:p>
        </w:tc>
        <w:tc>
          <w:tcPr>
            <w:tcW w:w="2745"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dxa"/>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w:t>
            </w:r>
          </w:p>
        </w:tc>
        <w:tc>
          <w:tcPr>
            <w:tcW w:w="2574" w:type="dxa"/>
            <w:noWrap/>
            <w:vAlign w:val="center"/>
          </w:tcPr>
          <w:p>
            <w:pPr>
              <w:widowControl/>
              <w:spacing w:line="3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人力资源服务机构未按规定建立健全或者保存服务台账</w:t>
            </w:r>
          </w:p>
          <w:p>
            <w:pPr>
              <w:widowControl/>
              <w:spacing w:line="300" w:lineRule="exact"/>
              <w:jc w:val="center"/>
              <w:textAlignment w:val="center"/>
              <w:rPr>
                <w:rFonts w:hint="eastAsia" w:ascii="仿宋_GB2312" w:hAnsi="仿宋_GB2312" w:eastAsia="仿宋_GB2312" w:cs="仿宋_GB2312"/>
                <w:color w:val="000000"/>
                <w:sz w:val="24"/>
              </w:rPr>
            </w:pPr>
          </w:p>
        </w:tc>
        <w:tc>
          <w:tcPr>
            <w:tcW w:w="3930" w:type="dxa"/>
            <w:noWrap/>
            <w:vAlign w:val="center"/>
          </w:tcPr>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同时具备以下条件，对单位处罚标准从“处5000元以上1万元以下的罚款”减轻为“处4000元以上5000元以下的罚款”：</w:t>
            </w:r>
          </w:p>
          <w:p>
            <w:pPr>
              <w:widowControl/>
              <w:spacing w:line="30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（1）首次实施此类违法行为;</w:t>
            </w:r>
          </w:p>
          <w:p>
            <w:pPr>
              <w:widowControl/>
              <w:spacing w:line="30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（2）至责令限期改正期限届满，未按规定建立健全或者保存服务台账，累计3个月以下；</w:t>
            </w:r>
          </w:p>
          <w:p>
            <w:pPr>
              <w:widowControl/>
              <w:spacing w:line="30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（3）逾期未改正或未完全改正，但在陈述申辩期限前全部整改完毕；</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（4）未造成危害后果或者主动消除违法行为危害后果。</w:t>
            </w:r>
          </w:p>
        </w:tc>
        <w:tc>
          <w:tcPr>
            <w:tcW w:w="2751" w:type="dxa"/>
            <w:vMerge w:val="restart"/>
            <w:noWrap w:val="0"/>
            <w:vAlign w:val="center"/>
          </w:tcPr>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《行政处罚法》第三十二条第一款第（一）项  当事人有下列情形之一，应当从轻或者减轻行政处罚：（一）主动消除或者减轻违法行为危害后果的。</w:t>
            </w:r>
          </w:p>
          <w:p>
            <w:pPr>
              <w:widowControl/>
              <w:spacing w:line="300" w:lineRule="exact"/>
              <w:jc w:val="left"/>
              <w:textAlignment w:val="center"/>
              <w:rPr>
                <w:rFonts w:hint="eastAsia" w:ascii="仿宋_GB2312" w:hAnsi="仿宋_GB2312" w:eastAsia="仿宋_GB2312" w:cs="仿宋_GB2312"/>
                <w:color w:val="000000"/>
                <w:sz w:val="24"/>
              </w:rPr>
            </w:pPr>
          </w:p>
          <w:p>
            <w:pPr>
              <w:widowControl/>
              <w:spacing w:line="300" w:lineRule="exact"/>
              <w:jc w:val="left"/>
              <w:textAlignment w:val="center"/>
              <w:rPr>
                <w:rFonts w:hint="eastAsia" w:ascii="仿宋_GB2312" w:hAnsi="仿宋_GB2312" w:eastAsia="仿宋_GB2312" w:cs="仿宋_GB2312"/>
                <w:color w:val="000000"/>
                <w:sz w:val="24"/>
              </w:rPr>
            </w:pPr>
          </w:p>
        </w:tc>
        <w:tc>
          <w:tcPr>
            <w:tcW w:w="2745" w:type="dxa"/>
            <w:noWrap/>
            <w:vAlign w:val="center"/>
          </w:tcPr>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处罚依据：</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《人力资源市场暂行条例》第四十四条  未按照本条例第三十三条规定建立健全内部制度或者保存服务台账，由人力资源社会保障行政部门责令改正;拒不改正的，处5000元以上1万元以下的罚款。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dxa"/>
            <w:noWrap/>
            <w:vAlign w:val="center"/>
          </w:tcPr>
          <w:p>
            <w:pPr>
              <w:widowControl/>
              <w:spacing w:line="30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w:t>
            </w:r>
          </w:p>
        </w:tc>
        <w:tc>
          <w:tcPr>
            <w:tcW w:w="2574" w:type="dxa"/>
            <w:noWrap/>
            <w:vAlign w:val="center"/>
          </w:tcPr>
          <w:p>
            <w:pPr>
              <w:widowControl/>
              <w:spacing w:line="3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用人单位违反劳动保障法律、法规或者规章延长劳动者工作时间</w:t>
            </w:r>
          </w:p>
        </w:tc>
        <w:tc>
          <w:tcPr>
            <w:tcW w:w="3930" w:type="dxa"/>
            <w:noWrap/>
            <w:vAlign w:val="center"/>
          </w:tcPr>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同时具备以下条件，给予警告，并可按照受侵害的劳动者每人100元以下的标准计算给予从轻处罚：</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（1）首次实施此类违法行为；</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（2）受侵害人人均日延长工作时间4小时以上5小时以内或人均月延长工作时间54小时以上72小时内；</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（3）迫于生产压力，履行了民主协商程序且及时足额支付加班工资；</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（4）主动整改或在责令改正限期内改正，未造成人身损害等危害后果。</w:t>
            </w:r>
          </w:p>
        </w:tc>
        <w:tc>
          <w:tcPr>
            <w:tcW w:w="2751" w:type="dxa"/>
            <w:vMerge w:val="continue"/>
            <w:noWrap w:val="0"/>
            <w:vAlign w:val="center"/>
          </w:tcPr>
          <w:p>
            <w:pPr>
              <w:widowControl/>
              <w:spacing w:line="300" w:lineRule="exact"/>
              <w:jc w:val="left"/>
              <w:textAlignment w:val="center"/>
              <w:rPr>
                <w:rFonts w:hint="eastAsia" w:ascii="仿宋_GB2312" w:hAnsi="仿宋_GB2312" w:eastAsia="仿宋_GB2312" w:cs="仿宋_GB2312"/>
                <w:color w:val="000000"/>
                <w:sz w:val="24"/>
              </w:rPr>
            </w:pPr>
          </w:p>
        </w:tc>
        <w:tc>
          <w:tcPr>
            <w:tcW w:w="2745" w:type="dxa"/>
            <w:noWrap/>
            <w:vAlign w:val="center"/>
          </w:tcPr>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处罚依据：</w:t>
            </w:r>
          </w:p>
          <w:p>
            <w:pPr>
              <w:widowControl/>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tc>
      </w:tr>
    </w:tbl>
    <w:p>
      <w:pPr>
        <w:snapToGrid w:val="0"/>
        <w:spacing w:line="542" w:lineRule="exact"/>
        <w:jc w:val="center"/>
        <w:rPr>
          <w:rFonts w:hint="eastAsia" w:ascii="黑体" w:hAnsi="黑体" w:eastAsia="黑体" w:cs="黑体"/>
          <w:bCs/>
          <w:sz w:val="44"/>
          <w:szCs w:val="44"/>
        </w:rPr>
      </w:pPr>
    </w:p>
    <w:p>
      <w:pPr>
        <w:snapToGrid w:val="0"/>
        <w:spacing w:line="542" w:lineRule="exact"/>
        <w:jc w:val="center"/>
        <w:rPr>
          <w:rFonts w:hint="eastAsia" w:ascii="黑体" w:hAnsi="黑体" w:eastAsia="黑体" w:cs="黑体"/>
          <w:color w:val="000000"/>
          <w:kern w:val="0"/>
          <w:sz w:val="44"/>
          <w:szCs w:val="44"/>
        </w:rPr>
      </w:pPr>
      <w:r>
        <w:rPr>
          <w:rFonts w:hint="eastAsia" w:ascii="黑体" w:hAnsi="黑体" w:eastAsia="黑体" w:cs="黑体"/>
          <w:bCs/>
          <w:sz w:val="44"/>
          <w:szCs w:val="44"/>
        </w:rPr>
        <w:t>南昌市人力资源和社会保障从轻</w:t>
      </w:r>
      <w:r>
        <w:rPr>
          <w:rFonts w:hint="eastAsia" w:ascii="黑体" w:hAnsi="黑体" w:eastAsia="黑体" w:cs="黑体"/>
          <w:bCs/>
          <w:color w:val="000000"/>
          <w:kern w:val="0"/>
          <w:sz w:val="44"/>
          <w:szCs w:val="44"/>
        </w:rPr>
        <w:t>处罚事项清单</w:t>
      </w:r>
    </w:p>
    <w:tbl>
      <w:tblPr>
        <w:tblStyle w:val="7"/>
        <w:tblW w:w="12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2490"/>
        <w:gridCol w:w="3735"/>
        <w:gridCol w:w="2955"/>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blHeader/>
          <w:jc w:val="center"/>
        </w:trPr>
        <w:tc>
          <w:tcPr>
            <w:tcW w:w="897"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序号</w:t>
            </w:r>
          </w:p>
        </w:tc>
        <w:tc>
          <w:tcPr>
            <w:tcW w:w="2490"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处罚事项</w:t>
            </w:r>
          </w:p>
        </w:tc>
        <w:tc>
          <w:tcPr>
            <w:tcW w:w="3735"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sz w:val="24"/>
              </w:rPr>
              <w:t>从轻处罚的情形</w:t>
            </w:r>
          </w:p>
        </w:tc>
        <w:tc>
          <w:tcPr>
            <w:tcW w:w="2955"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 xml:space="preserve">从轻处罚的依据 </w:t>
            </w:r>
          </w:p>
        </w:tc>
        <w:tc>
          <w:tcPr>
            <w:tcW w:w="2651" w:type="dxa"/>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5" w:hRule="atLeast"/>
          <w:jc w:val="center"/>
        </w:trPr>
        <w:tc>
          <w:tcPr>
            <w:tcW w:w="897" w:type="dxa"/>
            <w:noWrap/>
            <w:vAlign w:val="center"/>
          </w:tcPr>
          <w:p>
            <w:pPr>
              <w:widowControl/>
              <w:spacing w:line="300" w:lineRule="exact"/>
              <w:jc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1</w:t>
            </w:r>
          </w:p>
        </w:tc>
        <w:tc>
          <w:tcPr>
            <w:tcW w:w="2490" w:type="dxa"/>
            <w:noWrap/>
            <w:vAlign w:val="center"/>
          </w:tcPr>
          <w:p>
            <w:pPr>
              <w:widowControl/>
              <w:spacing w:line="300" w:lineRule="exact"/>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用人单位违反规定，将乙肝病毒血清学指标作为体检标准</w:t>
            </w:r>
          </w:p>
        </w:tc>
        <w:tc>
          <w:tcPr>
            <w:tcW w:w="3735" w:type="dxa"/>
            <w:noWrap/>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同时具备以下条件，按照罚款500元以下的标准处罚：</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（1）违法行为涉及3人以下；</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（2）检查之日起前十二个月内无违反同一法律规定的查处记录；</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（3）逾期未改正或未完全改正，但在陈述申辩期限前全部整改完毕；</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（4）违法行为未对劳动者造成损害，未引发不良舆论、未造成突发事件等不良社会危害后果。</w:t>
            </w:r>
          </w:p>
        </w:tc>
        <w:tc>
          <w:tcPr>
            <w:tcW w:w="2955" w:type="dxa"/>
            <w:vMerge w:val="restart"/>
            <w:noWrap w:val="0"/>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p>
          <w:p>
            <w:pPr>
              <w:widowControl/>
              <w:spacing w:line="300" w:lineRule="exact"/>
              <w:jc w:val="left"/>
              <w:textAlignment w:val="center"/>
              <w:rPr>
                <w:rFonts w:hint="eastAsia" w:ascii="仿宋_GB2312" w:hAnsi="仿宋_GB2312" w:eastAsia="仿宋_GB2312" w:cs="仿宋_GB2312"/>
                <w:color w:val="000000"/>
                <w:sz w:val="22"/>
                <w:szCs w:val="22"/>
              </w:rPr>
            </w:pP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《行政处罚法》第三十二条第一款第（一）项  当事人有下列情形之一，应当从轻或者减轻行政处罚：（一）主动消除或者减轻违法行为危害后果的。</w:t>
            </w:r>
          </w:p>
          <w:p>
            <w:pPr>
              <w:widowControl/>
              <w:spacing w:line="300" w:lineRule="exact"/>
              <w:jc w:val="left"/>
              <w:textAlignment w:val="center"/>
              <w:rPr>
                <w:rFonts w:hint="eastAsia" w:ascii="仿宋_GB2312" w:hAnsi="仿宋_GB2312" w:eastAsia="仿宋_GB2312" w:cs="仿宋_GB2312"/>
                <w:color w:val="000000"/>
                <w:sz w:val="22"/>
                <w:szCs w:val="22"/>
              </w:rPr>
            </w:pPr>
          </w:p>
          <w:p>
            <w:pPr>
              <w:widowControl/>
              <w:spacing w:line="300" w:lineRule="exact"/>
              <w:jc w:val="left"/>
              <w:textAlignment w:val="center"/>
              <w:rPr>
                <w:rFonts w:hint="eastAsia" w:ascii="仿宋_GB2312" w:hAnsi="仿宋_GB2312" w:eastAsia="仿宋_GB2312" w:cs="仿宋_GB2312"/>
                <w:color w:val="000000"/>
                <w:sz w:val="22"/>
                <w:szCs w:val="22"/>
              </w:rPr>
            </w:pPr>
          </w:p>
          <w:p>
            <w:pPr>
              <w:widowControl/>
              <w:spacing w:line="300" w:lineRule="exact"/>
              <w:jc w:val="left"/>
              <w:textAlignment w:val="center"/>
              <w:rPr>
                <w:rFonts w:hint="eastAsia" w:ascii="仿宋_GB2312" w:hAnsi="仿宋_GB2312" w:eastAsia="仿宋_GB2312" w:cs="仿宋_GB2312"/>
                <w:color w:val="000000"/>
                <w:sz w:val="22"/>
                <w:szCs w:val="22"/>
              </w:rPr>
            </w:pPr>
          </w:p>
        </w:tc>
        <w:tc>
          <w:tcPr>
            <w:tcW w:w="2651" w:type="dxa"/>
            <w:noWrap/>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处罚依据：</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《就业服务与就业管理规定》第六十八条  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5" w:hRule="atLeast"/>
          <w:jc w:val="center"/>
        </w:trPr>
        <w:tc>
          <w:tcPr>
            <w:tcW w:w="897" w:type="dxa"/>
            <w:noWrap/>
            <w:vAlign w:val="center"/>
          </w:tcPr>
          <w:p>
            <w:pPr>
              <w:widowControl/>
              <w:spacing w:line="300" w:lineRule="exact"/>
              <w:jc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2</w:t>
            </w:r>
          </w:p>
        </w:tc>
        <w:tc>
          <w:tcPr>
            <w:tcW w:w="2490" w:type="dxa"/>
            <w:noWrap/>
            <w:vAlign w:val="center"/>
          </w:tcPr>
          <w:p>
            <w:pPr>
              <w:widowControl/>
              <w:spacing w:line="300" w:lineRule="exact"/>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用人单位未对未成年工定期进行健康检查</w:t>
            </w:r>
          </w:p>
        </w:tc>
        <w:tc>
          <w:tcPr>
            <w:tcW w:w="3735" w:type="dxa"/>
            <w:noWrap/>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同时具备以下条件，按照罚款1000元以上3000元以下的标准处罚：</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（1）违法行为涉及3人以下；</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（2）检查之日起前十二个月内无违反同一法律规定的查处记录；</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（3）逾期未改正或未完全改正，但在陈述申辩期限前全部整改完毕；</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（4）违法行为未对未成年工造成人身损害，未引发不良舆论、未造成突发事件等不良社会危害后果。</w:t>
            </w:r>
          </w:p>
        </w:tc>
        <w:tc>
          <w:tcPr>
            <w:tcW w:w="2955" w:type="dxa"/>
            <w:vMerge w:val="continue"/>
            <w:noWrap w:val="0"/>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p>
        </w:tc>
        <w:tc>
          <w:tcPr>
            <w:tcW w:w="2651" w:type="dxa"/>
            <w:noWrap/>
            <w:vAlign w:val="center"/>
          </w:tcPr>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处罚依据：</w:t>
            </w:r>
          </w:p>
          <w:p>
            <w:pPr>
              <w:widowControl/>
              <w:spacing w:line="300" w:lineRule="exact"/>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《劳动保障监察条例》第二十三条第一款  用人单位有下列行为之一的，由劳动保障行政部门责令改正，按照受侵害的劳动者每人1000元以上5000元以下的标准计算，处以罚款：（八）未对未成年工定期进行健康检查的。</w:t>
            </w:r>
          </w:p>
        </w:tc>
      </w:tr>
    </w:tbl>
    <w:p>
      <w:pPr>
        <w:snapToGrid w:val="0"/>
        <w:spacing w:line="542" w:lineRule="exact"/>
        <w:jc w:val="center"/>
        <w:rPr>
          <w:rFonts w:hint="eastAsia" w:ascii="黑体" w:hAnsi="黑体" w:eastAsia="黑体" w:cs="黑体"/>
          <w:bCs/>
          <w:color w:val="000000"/>
          <w:kern w:val="0"/>
          <w:sz w:val="44"/>
          <w:szCs w:val="44"/>
        </w:rPr>
      </w:pPr>
      <w:r>
        <w:rPr>
          <w:rFonts w:hint="eastAsia" w:ascii="黑体" w:hAnsi="黑体" w:eastAsia="黑体" w:cs="黑体"/>
          <w:bCs/>
          <w:color w:val="000000"/>
          <w:kern w:val="0"/>
          <w:sz w:val="44"/>
          <w:szCs w:val="44"/>
        </w:rPr>
        <w:t>南昌市人力资源和社会保障少用慎用行政强制措施事项清单</w:t>
      </w:r>
    </w:p>
    <w:p>
      <w:pPr>
        <w:snapToGrid w:val="0"/>
        <w:jc w:val="left"/>
        <w:rPr>
          <w:rFonts w:ascii="Calibri" w:hAnsi="Calibri" w:eastAsia="方正黑体_GBK"/>
          <w:color w:val="000000"/>
          <w:kern w:val="0"/>
          <w:sz w:val="32"/>
          <w:szCs w:val="32"/>
        </w:rPr>
      </w:pPr>
    </w:p>
    <w:tbl>
      <w:tblPr>
        <w:tblStyle w:val="7"/>
        <w:tblW w:w="12578" w:type="dxa"/>
        <w:jc w:val="center"/>
        <w:tblLayout w:type="fixed"/>
        <w:tblCellMar>
          <w:top w:w="0" w:type="dxa"/>
          <w:left w:w="108" w:type="dxa"/>
          <w:bottom w:w="0" w:type="dxa"/>
          <w:right w:w="108" w:type="dxa"/>
        </w:tblCellMar>
      </w:tblPr>
      <w:tblGrid>
        <w:gridCol w:w="971"/>
        <w:gridCol w:w="2901"/>
        <w:gridCol w:w="3508"/>
        <w:gridCol w:w="4109"/>
        <w:gridCol w:w="1089"/>
      </w:tblGrid>
      <w:tr>
        <w:tblPrEx>
          <w:tblCellMar>
            <w:top w:w="0" w:type="dxa"/>
            <w:left w:w="108" w:type="dxa"/>
            <w:bottom w:w="0" w:type="dxa"/>
            <w:right w:w="108" w:type="dxa"/>
          </w:tblCellMar>
        </w:tblPrEx>
        <w:trPr>
          <w:trHeight w:val="618" w:hRule="atLeast"/>
          <w:tblHeader/>
          <w:jc w:val="center"/>
        </w:trPr>
        <w:tc>
          <w:tcPr>
            <w:tcW w:w="97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序号</w:t>
            </w:r>
          </w:p>
        </w:tc>
        <w:tc>
          <w:tcPr>
            <w:tcW w:w="2901"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强制</w:t>
            </w:r>
            <w:r>
              <w:rPr>
                <w:rFonts w:hint="eastAsia" w:ascii="黑体" w:hAnsi="黑体" w:eastAsia="黑体" w:cs="宋体"/>
                <w:bCs/>
                <w:kern w:val="0"/>
                <w:sz w:val="24"/>
              </w:rPr>
              <w:t>措施事项</w:t>
            </w:r>
          </w:p>
        </w:tc>
        <w:tc>
          <w:tcPr>
            <w:tcW w:w="3508"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ascii="黑体" w:hAnsi="黑体" w:eastAsia="黑体" w:cs="宋体"/>
                <w:bCs/>
                <w:color w:val="000000"/>
                <w:kern w:val="0"/>
                <w:sz w:val="24"/>
              </w:rPr>
            </w:pPr>
            <w:r>
              <w:rPr>
                <w:rFonts w:hint="eastAsia" w:ascii="黑体" w:hAnsi="黑体" w:eastAsia="黑体" w:cs="宋体"/>
                <w:bCs/>
                <w:kern w:val="0"/>
                <w:sz w:val="24"/>
              </w:rPr>
              <w:t>少用慎用行政强制措施的情形</w:t>
            </w:r>
          </w:p>
        </w:tc>
        <w:tc>
          <w:tcPr>
            <w:tcW w:w="4109"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 xml:space="preserve">少用慎用行政强制措施的依据 </w:t>
            </w:r>
          </w:p>
        </w:tc>
        <w:tc>
          <w:tcPr>
            <w:tcW w:w="1089"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黑体" w:hAnsi="黑体" w:eastAsia="黑体" w:cs="宋体"/>
                <w:bCs/>
                <w:color w:val="000000"/>
                <w:kern w:val="0"/>
                <w:sz w:val="24"/>
              </w:rPr>
            </w:pPr>
            <w:r>
              <w:rPr>
                <w:rFonts w:hint="eastAsia" w:ascii="黑体" w:hAnsi="黑体" w:eastAsia="黑体" w:cs="宋体"/>
                <w:bCs/>
                <w:color w:val="000000"/>
                <w:kern w:val="0"/>
                <w:sz w:val="24"/>
              </w:rPr>
              <w:t>备注</w:t>
            </w:r>
          </w:p>
        </w:tc>
      </w:tr>
      <w:tr>
        <w:tblPrEx>
          <w:tblCellMar>
            <w:top w:w="0" w:type="dxa"/>
            <w:left w:w="108" w:type="dxa"/>
            <w:bottom w:w="0" w:type="dxa"/>
            <w:right w:w="108" w:type="dxa"/>
          </w:tblCellMar>
        </w:tblPrEx>
        <w:trPr>
          <w:trHeight w:val="1303" w:hRule="atLeast"/>
          <w:jc w:val="center"/>
        </w:trPr>
        <w:tc>
          <w:tcPr>
            <w:tcW w:w="971" w:type="dxa"/>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eastAsia" w:ascii="Calibri" w:hAnsi="Calibri" w:eastAsia="方正仿宋_GBK" w:cs="方正仿宋_GBK"/>
                <w:color w:val="000000"/>
                <w:sz w:val="22"/>
                <w:szCs w:val="22"/>
              </w:rPr>
            </w:pPr>
            <w:r>
              <w:rPr>
                <w:rFonts w:hint="eastAsia" w:ascii="Calibri" w:hAnsi="Calibri" w:eastAsia="方正仿宋_GBK" w:cs="方正仿宋_GBK"/>
                <w:color w:val="000000"/>
                <w:sz w:val="22"/>
                <w:szCs w:val="22"/>
              </w:rPr>
              <w:t>1</w:t>
            </w:r>
          </w:p>
        </w:tc>
        <w:tc>
          <w:tcPr>
            <w:tcW w:w="2901" w:type="dxa"/>
            <w:tcBorders>
              <w:top w:val="nil"/>
              <w:left w:val="nil"/>
              <w:bottom w:val="single" w:color="auto" w:sz="4" w:space="0"/>
              <w:right w:val="single" w:color="auto" w:sz="4" w:space="0"/>
            </w:tcBorders>
            <w:noWrap/>
            <w:vAlign w:val="center"/>
          </w:tcPr>
          <w:p>
            <w:pPr>
              <w:widowControl/>
              <w:spacing w:line="300" w:lineRule="exact"/>
              <w:jc w:val="center"/>
              <w:textAlignment w:val="center"/>
              <w:rPr>
                <w:rFonts w:hint="eastAsia" w:ascii="Calibri" w:hAnsi="Calibri" w:eastAsia="方正仿宋_GBK" w:cs="方正仿宋_GBK"/>
                <w:color w:val="000000"/>
                <w:sz w:val="22"/>
                <w:szCs w:val="22"/>
              </w:rPr>
            </w:pPr>
            <w:r>
              <w:rPr>
                <w:rFonts w:hint="eastAsia" w:ascii="Calibri" w:hAnsi="Calibri" w:eastAsia="方正仿宋_GBK" w:cs="方正仿宋_GBK"/>
                <w:color w:val="000000"/>
                <w:sz w:val="22"/>
                <w:szCs w:val="22"/>
              </w:rPr>
              <w:t>无</w:t>
            </w:r>
          </w:p>
        </w:tc>
        <w:tc>
          <w:tcPr>
            <w:tcW w:w="3508" w:type="dxa"/>
            <w:tcBorders>
              <w:top w:val="nil"/>
              <w:left w:val="nil"/>
              <w:bottom w:val="single" w:color="auto" w:sz="4" w:space="0"/>
              <w:right w:val="single" w:color="auto" w:sz="4" w:space="0"/>
            </w:tcBorders>
            <w:noWrap/>
            <w:vAlign w:val="center"/>
          </w:tcPr>
          <w:p>
            <w:pPr>
              <w:widowControl/>
              <w:spacing w:line="300" w:lineRule="exact"/>
              <w:jc w:val="left"/>
              <w:textAlignment w:val="center"/>
              <w:rPr>
                <w:rFonts w:hint="eastAsia" w:ascii="Calibri" w:hAnsi="Calibri" w:eastAsia="方正仿宋_GBK" w:cs="方正仿宋_GBK"/>
                <w:color w:val="000000"/>
                <w:sz w:val="22"/>
                <w:szCs w:val="22"/>
              </w:rPr>
            </w:pPr>
          </w:p>
        </w:tc>
        <w:tc>
          <w:tcPr>
            <w:tcW w:w="4109" w:type="dxa"/>
            <w:tcBorders>
              <w:top w:val="nil"/>
              <w:left w:val="nil"/>
              <w:bottom w:val="single" w:color="auto" w:sz="4" w:space="0"/>
              <w:right w:val="single" w:color="auto" w:sz="4" w:space="0"/>
            </w:tcBorders>
            <w:noWrap w:val="0"/>
            <w:vAlign w:val="center"/>
          </w:tcPr>
          <w:p>
            <w:pPr>
              <w:widowControl/>
              <w:spacing w:line="300" w:lineRule="exact"/>
              <w:jc w:val="left"/>
              <w:textAlignment w:val="center"/>
              <w:rPr>
                <w:rFonts w:hint="eastAsia" w:ascii="Calibri" w:hAnsi="Calibri" w:eastAsia="方正仿宋_GBK" w:cs="方正仿宋_GBK"/>
                <w:color w:val="000000"/>
                <w:sz w:val="22"/>
                <w:szCs w:val="22"/>
              </w:rPr>
            </w:pPr>
          </w:p>
        </w:tc>
        <w:tc>
          <w:tcPr>
            <w:tcW w:w="1089" w:type="dxa"/>
            <w:tcBorders>
              <w:top w:val="nil"/>
              <w:left w:val="nil"/>
              <w:bottom w:val="single" w:color="auto" w:sz="4" w:space="0"/>
              <w:right w:val="single" w:color="auto" w:sz="4" w:space="0"/>
            </w:tcBorders>
            <w:noWrap/>
            <w:vAlign w:val="center"/>
          </w:tcPr>
          <w:p>
            <w:pPr>
              <w:widowControl/>
              <w:spacing w:line="300" w:lineRule="exact"/>
              <w:jc w:val="center"/>
              <w:textAlignment w:val="center"/>
              <w:rPr>
                <w:rFonts w:hint="eastAsia" w:ascii="Calibri" w:hAnsi="Calibri" w:eastAsia="方正仿宋_GBK" w:cs="方正仿宋_GBK"/>
                <w:color w:val="000000"/>
                <w:sz w:val="22"/>
                <w:szCs w:val="22"/>
              </w:rPr>
            </w:pPr>
          </w:p>
        </w:tc>
      </w:tr>
    </w:tbl>
    <w:p>
      <w:pPr>
        <w:rPr>
          <w:rFonts w:hint="eastAsia" w:ascii="仿宋_GB2312" w:hAnsi="仿宋_GB2312" w:eastAsia="仿宋_GB2312" w:cs="仿宋_GB2312"/>
          <w:sz w:val="36"/>
          <w:szCs w:val="36"/>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tabs>
          <w:tab w:val="left" w:pos="1264"/>
        </w:tabs>
        <w:rPr>
          <w:rFonts w:hint="eastAsia" w:eastAsia="仿宋_GB2312"/>
        </w:rPr>
      </w:pPr>
    </w:p>
    <w:p>
      <w:pPr>
        <w:pStyle w:val="6"/>
        <w:rPr>
          <w:rFonts w:hint="eastAsia" w:eastAsia="仿宋_GB2312"/>
        </w:rPr>
      </w:pPr>
    </w:p>
    <w:p>
      <w:pPr>
        <w:rPr>
          <w:rFonts w:hint="eastAsia" w:eastAsia="仿宋_GB2312"/>
        </w:rPr>
      </w:pPr>
    </w:p>
    <w:p>
      <w:pPr>
        <w:pStyle w:val="6"/>
        <w:rPr>
          <w:rFonts w:hint="eastAsia" w:eastAsia="仿宋_GB2312"/>
        </w:rPr>
      </w:pPr>
    </w:p>
    <w:p>
      <w:pPr>
        <w:rPr>
          <w:rFonts w:hint="eastAsia"/>
        </w:rPr>
      </w:pPr>
    </w:p>
    <w:p>
      <w:pPr>
        <w:tabs>
          <w:tab w:val="left" w:pos="1264"/>
        </w:tabs>
        <w:rPr>
          <w:rFonts w:hint="eastAsia" w:eastAsia="仿宋_GB2312"/>
        </w:rPr>
      </w:pPr>
    </w:p>
    <w:p>
      <w:pPr>
        <w:pStyle w:val="6"/>
        <w:rPr>
          <w:rFonts w:hint="eastAsia" w:eastAsia="仿宋_GB2312"/>
        </w:rPr>
        <w:sectPr>
          <w:pgSz w:w="16838" w:h="11906" w:orient="landscape"/>
          <w:pgMar w:top="1587" w:right="1474" w:bottom="1587" w:left="1474" w:header="851" w:footer="992" w:gutter="0"/>
          <w:pgNumType w:fmt="decimal"/>
          <w:cols w:space="720" w:num="1"/>
          <w:docGrid w:type="lines" w:linePitch="323" w:charSpace="0"/>
        </w:sectPr>
      </w:pPr>
    </w:p>
    <w:p>
      <w:pPr>
        <w:pStyle w:val="4"/>
        <w:spacing w:line="560" w:lineRule="exact"/>
        <w:ind w:firstLine="640" w:firstLineChars="200"/>
        <w:rPr>
          <w:rFonts w:ascii="仿宋" w:hAnsi="仿宋" w:eastAsia="仿宋" w:cs="仿宋"/>
          <w:b w:val="0"/>
          <w:bCs/>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ind w:firstLine="640"/>
        <w:rPr>
          <w:rFonts w:ascii="仿宋_GB2312" w:hAnsi="仿宋_GB2312" w:eastAsia="仿宋_GB2312" w:cs="仿宋_GB2312"/>
          <w:sz w:val="32"/>
          <w:szCs w:val="32"/>
        </w:rPr>
      </w:pPr>
    </w:p>
    <w:p>
      <w:pPr>
        <w:pStyle w:val="2"/>
        <w:spacing w:after="157" w:afterLines="50"/>
        <w:ind w:firstLine="640"/>
        <w:rPr>
          <w:rFonts w:hint="eastAsia" w:ascii="仿宋_GB2312" w:hAnsi="仿宋_GB2312" w:eastAsia="仿宋_GB2312" w:cs="仿宋_GB2312"/>
          <w:sz w:val="32"/>
          <w:szCs w:val="32"/>
        </w:rPr>
      </w:pPr>
    </w:p>
    <w:p>
      <w:pPr>
        <w:pStyle w:val="10"/>
        <w:pBdr>
          <w:left w:val="none" w:color="auto" w:sz="0" w:space="0"/>
          <w:right w:val="none" w:color="auto" w:sz="0" w:space="0"/>
        </w:pBdr>
        <w:spacing w:line="560" w:lineRule="exact"/>
      </w:pPr>
      <w:r>
        <w:rPr>
          <w:rFonts w:hint="eastAsia" w:hAnsi="Calibri"/>
          <w:sz w:val="28"/>
          <w:szCs w:val="28"/>
        </w:rPr>
        <w:t>南昌市人力资源和社会保障局办公室</w:t>
      </w:r>
      <w:r>
        <w:rPr>
          <w:rFonts w:hint="eastAsia"/>
          <w:sz w:val="28"/>
          <w:szCs w:val="28"/>
        </w:rPr>
        <w:t xml:space="preserve">         202</w:t>
      </w:r>
      <w:r>
        <w:rPr>
          <w:sz w:val="28"/>
          <w:szCs w:val="28"/>
        </w:rPr>
        <w:t>3</w:t>
      </w:r>
      <w:r>
        <w:rPr>
          <w:rFonts w:hint="eastAsia"/>
          <w:sz w:val="28"/>
          <w:szCs w:val="28"/>
        </w:rPr>
        <w:t>年</w:t>
      </w:r>
      <w:r>
        <w:rPr>
          <w:sz w:val="28"/>
          <w:szCs w:val="28"/>
        </w:rPr>
        <w:t>11</w:t>
      </w:r>
      <w:r>
        <w:rPr>
          <w:rFonts w:hint="eastAsia"/>
          <w:sz w:val="28"/>
          <w:szCs w:val="28"/>
        </w:rPr>
        <w:t>月</w:t>
      </w:r>
      <w:r>
        <w:rPr>
          <w:sz w:val="28"/>
          <w:szCs w:val="28"/>
        </w:rPr>
        <w:t>28</w:t>
      </w:r>
      <w:r>
        <w:rPr>
          <w:rFonts w:hint="eastAsia"/>
          <w:sz w:val="28"/>
          <w:szCs w:val="28"/>
        </w:rPr>
        <w:t>日印发</w:t>
      </w:r>
    </w:p>
    <w:sectPr>
      <w:footerReference r:id="rId5" w:type="default"/>
      <w:pgSz w:w="11906" w:h="16838"/>
      <w:pgMar w:top="2098" w:right="1531" w:bottom="1984"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黑体_GBK">
    <w:altName w:val="微软雅黑"/>
    <w:panose1 w:val="02000000000000000000"/>
    <w:charset w:val="86"/>
    <w:family w:val="script"/>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default" w:cs="Times New Roman"/>
                              <w:sz w:val="28"/>
                              <w:szCs w:val="28"/>
                            </w:rPr>
                          </w:pPr>
                          <w:r>
                            <w:rPr>
                              <w:rFonts w:hint="default" w:cs="Times New Roman"/>
                              <w:sz w:val="28"/>
                              <w:szCs w:val="28"/>
                            </w:rPr>
                            <w:t xml:space="preserve">— </w:t>
                          </w:r>
                          <w:r>
                            <w:rPr>
                              <w:rFonts w:hint="default" w:cs="Times New Roman"/>
                              <w:sz w:val="28"/>
                              <w:szCs w:val="28"/>
                            </w:rPr>
                            <w:fldChar w:fldCharType="begin"/>
                          </w:r>
                          <w:r>
                            <w:rPr>
                              <w:rFonts w:hint="default" w:cs="Times New Roman"/>
                              <w:sz w:val="28"/>
                              <w:szCs w:val="28"/>
                            </w:rPr>
                            <w:instrText xml:space="preserve"> PAGE  \* MERGEFORMAT </w:instrText>
                          </w:r>
                          <w:r>
                            <w:rPr>
                              <w:rFonts w:hint="default" w:cs="Times New Roman"/>
                              <w:sz w:val="28"/>
                              <w:szCs w:val="28"/>
                            </w:rPr>
                            <w:fldChar w:fldCharType="separate"/>
                          </w:r>
                          <w:r>
                            <w:rPr>
                              <w:rFonts w:hint="default" w:cs="Times New Roman"/>
                              <w:sz w:val="28"/>
                              <w:szCs w:val="28"/>
                            </w:rPr>
                            <w:t>1</w:t>
                          </w:r>
                          <w:r>
                            <w:rPr>
                              <w:rFonts w:hint="default" w:cs="Times New Roman"/>
                              <w:sz w:val="28"/>
                              <w:szCs w:val="28"/>
                            </w:rPr>
                            <w:fldChar w:fldCharType="end"/>
                          </w:r>
                          <w:r>
                            <w:rPr>
                              <w:rFonts w:hint="default"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5"/>
                      <w:rPr>
                        <w:rFonts w:hint="default" w:cs="Times New Roman"/>
                        <w:sz w:val="28"/>
                        <w:szCs w:val="28"/>
                      </w:rPr>
                    </w:pPr>
                    <w:r>
                      <w:rPr>
                        <w:rFonts w:hint="default" w:cs="Times New Roman"/>
                        <w:sz w:val="28"/>
                        <w:szCs w:val="28"/>
                      </w:rPr>
                      <w:t xml:space="preserve">— </w:t>
                    </w:r>
                    <w:r>
                      <w:rPr>
                        <w:rFonts w:hint="default" w:cs="Times New Roman"/>
                        <w:sz w:val="28"/>
                        <w:szCs w:val="28"/>
                      </w:rPr>
                      <w:fldChar w:fldCharType="begin"/>
                    </w:r>
                    <w:r>
                      <w:rPr>
                        <w:rFonts w:hint="default" w:cs="Times New Roman"/>
                        <w:sz w:val="28"/>
                        <w:szCs w:val="28"/>
                      </w:rPr>
                      <w:instrText xml:space="preserve"> PAGE  \* MERGEFORMAT </w:instrText>
                    </w:r>
                    <w:r>
                      <w:rPr>
                        <w:rFonts w:hint="default" w:cs="Times New Roman"/>
                        <w:sz w:val="28"/>
                        <w:szCs w:val="28"/>
                      </w:rPr>
                      <w:fldChar w:fldCharType="separate"/>
                    </w:r>
                    <w:r>
                      <w:rPr>
                        <w:rFonts w:hint="default" w:cs="Times New Roman"/>
                        <w:sz w:val="28"/>
                        <w:szCs w:val="28"/>
                      </w:rPr>
                      <w:t>1</w:t>
                    </w:r>
                    <w:r>
                      <w:rPr>
                        <w:rFonts w:hint="default" w:cs="Times New Roman"/>
                        <w:sz w:val="28"/>
                        <w:szCs w:val="28"/>
                      </w:rPr>
                      <w:fldChar w:fldCharType="end"/>
                    </w:r>
                    <w:r>
                      <w:rPr>
                        <w:rFonts w:hint="default" w:cs="Times New Roman"/>
                        <w:sz w:val="28"/>
                        <w:szCs w:val="28"/>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Style w:val="9"/>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rPr>
                        <w:rStyle w:val="9"/>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ZDFlNjM2Zjg2NjE3ZjY2OTgyOTZiYTAxODhhOWMifQ=="/>
    <w:docVar w:name="KSO_WPS_MARK_KEY" w:val="2028d8da-61d1-470f-926e-e042c9141124"/>
  </w:docVars>
  <w:rsids>
    <w:rsidRoot w:val="20DF7BD0"/>
    <w:rsid w:val="20DF7BD0"/>
    <w:rsid w:val="57A868F0"/>
    <w:rsid w:val="7D86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index 5"/>
    <w:basedOn w:val="1"/>
    <w:next w:val="1"/>
    <w:qFormat/>
    <w:uiPriority w:val="0"/>
    <w:pPr>
      <w:ind w:left="1680"/>
    </w:pPr>
  </w:style>
  <w:style w:type="paragraph" w:styleId="4">
    <w:name w:val="Body Text"/>
    <w:basedOn w:val="1"/>
    <w:unhideWhenUsed/>
    <w:qFormat/>
    <w:uiPriority w:val="99"/>
    <w:rPr>
      <w:b/>
    </w:rPr>
  </w:style>
  <w:style w:type="paragraph" w:styleId="5">
    <w:name w:val="footer"/>
    <w:basedOn w:val="1"/>
    <w:next w:val="3"/>
    <w:qFormat/>
    <w:uiPriority w:val="0"/>
    <w:pPr>
      <w:tabs>
        <w:tab w:val="center" w:pos="4153"/>
        <w:tab w:val="right" w:pos="8306"/>
      </w:tabs>
      <w:snapToGrid w:val="0"/>
      <w:jc w:val="left"/>
    </w:pPr>
    <w:rPr>
      <w:sz w:val="18"/>
      <w:szCs w:val="18"/>
    </w:rPr>
  </w:style>
  <w:style w:type="paragraph" w:styleId="6">
    <w:name w:val="Body Text First Indent 2"/>
    <w:basedOn w:val="1"/>
    <w:next w:val="1"/>
    <w:qFormat/>
    <w:uiPriority w:val="0"/>
    <w:pPr>
      <w:ind w:firstLine="420"/>
    </w:pPr>
  </w:style>
  <w:style w:type="character" w:styleId="9">
    <w:name w:val="page number"/>
    <w:basedOn w:val="8"/>
    <w:qFormat/>
    <w:uiPriority w:val="0"/>
  </w:style>
  <w:style w:type="paragraph" w:customStyle="1" w:styleId="10">
    <w:name w:val="公文文尾"/>
    <w:basedOn w:val="1"/>
    <w:qFormat/>
    <w:uiPriority w:val="0"/>
    <w:pPr>
      <w:pBdr>
        <w:top w:val="single" w:color="auto" w:sz="4" w:space="1"/>
        <w:left w:val="none" w:color="auto" w:sz="0" w:space="4"/>
        <w:bottom w:val="single" w:color="auto" w:sz="4" w:space="1"/>
        <w:right w:val="none" w:color="auto" w:sz="0" w:space="4"/>
      </w:pBdr>
      <w:spacing w:line="480" w:lineRule="exact"/>
      <w:jc w:val="center"/>
    </w:pPr>
    <w:rPr>
      <w:rFonts w:ascii="仿宋_GB2312" w:hAnsi="仿宋_GB2312" w:eastAsia="仿宋_GB2312"/>
      <w:sz w:val="3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4660</Words>
  <Characters>4754</Characters>
  <Lines>0</Lines>
  <Paragraphs>0</Paragraphs>
  <TotalTime>2</TotalTime>
  <ScaleCrop>false</ScaleCrop>
  <LinksUpToDate>false</LinksUpToDate>
  <CharactersWithSpaces>4822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2024-01-09T06:23:00Z</dcterms:created>
  <dc:creator>Administrator</dc:creator>
  <cp:lastModifiedBy>WPS_1527832312</cp:lastModifiedBy>
  <dcterms:modified xsi:type="dcterms:W3CDTF">2024-01-17T08:56:37Z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F2F28312539F46938017CE7A93A64597_11</vt:lpwstr>
  </property>
</Properties>
</file>